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07411" w14:textId="6D7FE079" w:rsidR="006248AE" w:rsidRP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</w:pPr>
      <w:r w:rsidRPr="006248AE">
        <w:rPr>
          <w:rFonts w:ascii="Helvetica Neue" w:hAnsi="Helvetica Neue" w:cs="Helvetica Neue"/>
          <w:b/>
          <w:noProof/>
          <w:color w:val="060606"/>
          <w:sz w:val="30"/>
          <w:szCs w:val="30"/>
          <w:lang w:val="en-US"/>
        </w:rPr>
        <w:drawing>
          <wp:inline distT="0" distB="0" distL="0" distR="0" wp14:anchorId="60F1C02C" wp14:editId="5199AC0C">
            <wp:extent cx="203200" cy="203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Γήρ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α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νση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, α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νοσογήρ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α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νση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 xml:space="preserve"> και 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μυική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 xml:space="preserve"> α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δυν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α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μί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α ή α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λλιώς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 xml:space="preserve">.... 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υγιές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 xml:space="preserve"> α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νοσο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π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οιητικό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=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μυική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 xml:space="preserve"> 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δύν</w:t>
      </w:r>
      <w:proofErr w:type="spellEnd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α</w:t>
      </w:r>
      <w:proofErr w:type="spellStart"/>
      <w:r w:rsidRPr="006248AE">
        <w:rPr>
          <w:rFonts w:ascii="Helvetica Neue" w:hAnsi="Helvetica Neue" w:cs="Helvetica Neue"/>
          <w:b/>
          <w:color w:val="060606"/>
          <w:sz w:val="30"/>
          <w:szCs w:val="30"/>
          <w:lang w:val="en-US"/>
        </w:rPr>
        <w:t>μη</w:t>
      </w:r>
      <w:proofErr w:type="spellEnd"/>
    </w:p>
    <w:p w14:paraId="5AF9C6C3" w14:textId="6D179FE2" w:rsid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r>
        <w:rPr>
          <w:rFonts w:ascii="Helvetica Neue" w:hAnsi="Helvetica Neue" w:cs="Helvetica Neue"/>
          <w:noProof/>
          <w:color w:val="060606"/>
          <w:sz w:val="30"/>
          <w:szCs w:val="30"/>
          <w:lang w:val="en-US"/>
        </w:rPr>
        <w:drawing>
          <wp:inline distT="0" distB="0" distL="0" distR="0" wp14:anchorId="3566472E" wp14:editId="2A97CD9D">
            <wp:extent cx="203200" cy="203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ρώτησε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από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σθενείς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δουλειά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έχει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οιητικό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μυική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α;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Είχ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εντύ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ωση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η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συζήτηση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θα επ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ικεντρωνότ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αν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άθει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από </w:t>
      </w:r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ολύχρονη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θερ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κορτικοστεροειδή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ή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μυική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ως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οτέλεσμ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έλλειψης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φυσικής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άσκησης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σθενείς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χρόνι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νοσήμ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ατα. </w:t>
      </w:r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ορεί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να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συζητούσ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ρευμ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τική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ολυμυ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λγί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α,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έν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νόσημ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οιητικού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ταλα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νίζει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Ήλ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ιζ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η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συζήτηση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δεν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θα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δυσκολέψει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οδηγώντ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ας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ανα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φορές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μυική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σχετιζόμενη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υτοάνοσες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φλεγμονώδεις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μυοσίτιδες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ολυμυοσίτιδ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άλλες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σπ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άνιες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θήσεις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myasthenia Gravis,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σύνδρομο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Guillain-Barré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μονο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ωλεί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τα ΜΜΕ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άλλ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ολλά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</w:p>
    <w:p w14:paraId="3B4AFD75" w14:textId="41AB8B9B" w:rsid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</w:p>
    <w:p w14:paraId="2536C232" w14:textId="5DD3617D" w:rsid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r>
        <w:rPr>
          <w:rFonts w:ascii="Helvetica Neue" w:hAnsi="Helvetica Neue" w:cs="Helvetica Neue"/>
          <w:noProof/>
          <w:color w:val="060606"/>
          <w:sz w:val="30"/>
          <w:szCs w:val="30"/>
          <w:lang w:val="en-US"/>
        </w:rPr>
        <w:drawing>
          <wp:inline distT="0" distB="0" distL="0" distR="0" wp14:anchorId="58F75682" wp14:editId="064CAC18">
            <wp:extent cx="203200" cy="203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Όμως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ξεκ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θάρισε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</w:p>
    <w:p w14:paraId="40C4B648" w14:textId="77777777" w:rsid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Hθελε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να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μάθει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αν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οιητικό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ίζει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ρόλο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μυική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χωρίς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να υπ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άρχει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γνωσμένο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υτοάνοσο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νόσημ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ή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γνωστή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άθηση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οιητικού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</w:p>
    <w:p w14:paraId="5591B1E2" w14:textId="77777777" w:rsid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Πρώτ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από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όλ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α,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ξεκ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θάρισ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κάθε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ερί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τωση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οξεί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ας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εμφάνισης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μυικής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ας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ρέ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να ανα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ζητείτ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αι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ίτιο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, όπ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ως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εξάλλου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χρόνιες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κατα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στάσεις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υτές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εριλ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αμβ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άνοντ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νοσήμ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ατα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οιητικού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Χαρα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κτηριστικό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ράδειγμ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αι η φα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κευτική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μυοσίτιδ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από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τίνες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χά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πια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ίρνουμε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υπ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ερχοληστεριν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ιμί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</w:p>
    <w:p w14:paraId="3C9D3299" w14:textId="3E5D947E" w:rsid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r>
        <w:rPr>
          <w:rFonts w:ascii="Helvetica Neue" w:hAnsi="Helvetica Neue" w:cs="Helvetica Neue"/>
          <w:noProof/>
          <w:color w:val="060606"/>
          <w:sz w:val="30"/>
          <w:szCs w:val="30"/>
          <w:lang w:val="en-US"/>
        </w:rPr>
        <w:drawing>
          <wp:inline distT="0" distB="0" distL="0" distR="0" wp14:anchorId="23BEA520" wp14:editId="61D9B1F2">
            <wp:extent cx="203200" cy="203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θέμ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μας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τώρ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Η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μυική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εμφ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νίζετ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χρόνο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αι 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οτέλεσμ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κυρίως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μυικής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τροφί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ας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σα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ρκο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ενί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ας.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</w:p>
    <w:p w14:paraId="37AC688C" w14:textId="27167520" w:rsid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r>
        <w:rPr>
          <w:rFonts w:ascii="Helvetica Neue" w:hAnsi="Helvetica Neue" w:cs="Helvetica Neue"/>
          <w:noProof/>
          <w:color w:val="060606"/>
          <w:sz w:val="30"/>
          <w:szCs w:val="30"/>
          <w:lang w:val="en-US"/>
        </w:rPr>
        <w:drawing>
          <wp:inline distT="0" distB="0" distL="0" distR="0" wp14:anchorId="63D185AE" wp14:editId="54E0F9AF">
            <wp:extent cx="203200" cy="203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Αυτό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εξ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ιρετικά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σημ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ντικό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λίγοι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γνωρίζουν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νέες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γενετικές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ανα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λύσεις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ροσ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θούν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να 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οκ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λύψουν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ιολογικές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ιτίες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μυϊκής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ας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ηλικιωμένους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έδειξ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αν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κάτι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εξ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ιρετικά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ρόσμενο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</w:p>
    <w:p w14:paraId="6C33A131" w14:textId="77777777" w:rsid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δηλ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; </w:t>
      </w:r>
    </w:p>
    <w:p w14:paraId="26188E02" w14:textId="23980DD1" w:rsid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r>
        <w:rPr>
          <w:rFonts w:ascii="Helvetica Neue" w:hAnsi="Helvetica Neue" w:cs="Helvetica Neue"/>
          <w:noProof/>
          <w:color w:val="060606"/>
          <w:sz w:val="30"/>
          <w:szCs w:val="30"/>
          <w:lang w:val="en-US"/>
        </w:rPr>
        <w:drawing>
          <wp:inline distT="0" distB="0" distL="0" distR="0" wp14:anchorId="780241DE" wp14:editId="34B208E2">
            <wp:extent cx="203200" cy="2032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Μερικές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από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ισχυρές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(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ισχυρότερες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)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συσχετίσεις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ρέθηκ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αν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ξύ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μυικής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ας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γονιδίων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αι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υτές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σχετίζοντ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εριοχές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γονιδιώμ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ρυθμίζουν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οιητικό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σύστημ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συγκεκριμέν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γονίδιο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HLA-DRB1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συσχετίζετ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ρευμ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τοειδή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ρθρίτιδ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και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ολλά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άλλ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υτοάνοσ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νοσήμ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ατα</w:t>
      </w:r>
    </w:p>
    <w:p w14:paraId="170CAF02" w14:textId="1B972139" w:rsid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r>
        <w:rPr>
          <w:rFonts w:ascii="Helvetica Neue" w:hAnsi="Helvetica Neue" w:cs="Helvetica Neue"/>
          <w:noProof/>
          <w:color w:val="060606"/>
          <w:sz w:val="30"/>
          <w:szCs w:val="30"/>
          <w:lang w:val="en-US"/>
        </w:rPr>
        <w:drawing>
          <wp:inline distT="0" distB="0" distL="0" distR="0" wp14:anchorId="09A5E3CD" wp14:editId="42F06673">
            <wp:extent cx="203200" cy="203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8FC1" w14:textId="77777777" w:rsidR="006248AE" w:rsidRDefault="006248AE" w:rsidP="006248A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λίγ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λόγι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κατα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κλείδι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, φα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ίνετ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γονίδι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οιητικού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εκείν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θορίζουν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οιοί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από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εμάς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θα αναπ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τύξουμε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συχνά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,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lastRenderedPageBreak/>
        <w:t>γρήγορ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βα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ρύτερη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μορφή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μυική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έρ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χρόνου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σύγκριση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συνομήλικούς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μας,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κόμη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αν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δεν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δεν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συνυ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άρχει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υτοάνοσο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νόσημ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ή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άλλο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χρόνιο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νόσημ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α.</w:t>
      </w:r>
    </w:p>
    <w:p w14:paraId="62566488" w14:textId="6371C982" w:rsidR="00F342EC" w:rsidRDefault="006248AE" w:rsidP="006248AE">
      <w:pPr>
        <w:ind w:firstLine="567"/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</w:pPr>
      <w:proofErr w:type="spellStart"/>
      <w:proofErr w:type="gram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Έν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α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υγιές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α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νοσο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π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οιητικό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σε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συνδυ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α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σμό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με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μυική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ενδυνάμωση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/π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ερ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π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άτημ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α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γυμν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α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στική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και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υγιεινή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δι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α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τροφή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χα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ρίζει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π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όντους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ενάντι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α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στο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γενετικό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 xml:space="preserve"> μας </w:t>
      </w:r>
      <w:proofErr w:type="spellStart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κώδικ</w:t>
      </w:r>
      <w:proofErr w:type="spellEnd"/>
      <w:r w:rsidRPr="006248AE"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  <w:t>α.</w:t>
      </w:r>
      <w:proofErr w:type="gramEnd"/>
    </w:p>
    <w:p w14:paraId="3313867B" w14:textId="77777777" w:rsidR="006248AE" w:rsidRDefault="006248AE" w:rsidP="006248AE">
      <w:pPr>
        <w:ind w:firstLine="567"/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</w:pPr>
    </w:p>
    <w:p w14:paraId="0F1AD99B" w14:textId="77777777" w:rsidR="006248AE" w:rsidRDefault="006248AE" w:rsidP="006248AE">
      <w:pPr>
        <w:ind w:firstLine="567"/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</w:pPr>
    </w:p>
    <w:p w14:paraId="141AB646" w14:textId="34DA454C" w:rsidR="006248AE" w:rsidRPr="006248AE" w:rsidRDefault="006248AE" w:rsidP="006248AE">
      <w:pPr>
        <w:ind w:firstLine="567"/>
        <w:rPr>
          <w:rFonts w:ascii="Helvetica Neue" w:hAnsi="Helvetica Neue" w:cs="Helvetica Neue"/>
          <w:b/>
          <w:i/>
          <w:color w:val="060606"/>
          <w:sz w:val="30"/>
          <w:szCs w:val="30"/>
          <w:lang w:val="el-GR"/>
        </w:rPr>
      </w:pPr>
      <w:r>
        <w:rPr>
          <w:rFonts w:ascii="Helvetica Neue" w:hAnsi="Helvetica Neue" w:cs="Helvetica Neue"/>
          <w:b/>
          <w:i/>
          <w:noProof/>
          <w:color w:val="060606"/>
          <w:sz w:val="30"/>
          <w:szCs w:val="30"/>
          <w:lang w:val="en-US"/>
        </w:rPr>
        <w:drawing>
          <wp:inline distT="0" distB="0" distL="0" distR="0" wp14:anchorId="73C2BFA9" wp14:editId="6A0E6B41">
            <wp:extent cx="6390640" cy="3390454"/>
            <wp:effectExtent l="0" t="0" r="1016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39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FB8547" w14:textId="77777777" w:rsidR="006248AE" w:rsidRDefault="006248AE" w:rsidP="006248AE">
      <w:pPr>
        <w:ind w:firstLine="567"/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</w:pPr>
    </w:p>
    <w:p w14:paraId="7134E136" w14:textId="77777777" w:rsidR="006248AE" w:rsidRDefault="006248AE" w:rsidP="006248AE">
      <w:pPr>
        <w:ind w:firstLine="567"/>
        <w:rPr>
          <w:rFonts w:ascii="Helvetica Neue" w:hAnsi="Helvetica Neue" w:cs="Helvetica Neue"/>
          <w:b/>
          <w:i/>
          <w:color w:val="060606"/>
          <w:sz w:val="30"/>
          <w:szCs w:val="30"/>
          <w:lang w:val="en-US"/>
        </w:rPr>
      </w:pPr>
    </w:p>
    <w:p w14:paraId="7A05296F" w14:textId="77777777" w:rsidR="006248AE" w:rsidRPr="006248AE" w:rsidRDefault="006248AE" w:rsidP="006248AE">
      <w:pPr>
        <w:rPr>
          <w:rFonts w:ascii="Times" w:eastAsia="Times New Roman" w:hAnsi="Times" w:cs="Times New Roman"/>
          <w:sz w:val="20"/>
          <w:szCs w:val="20"/>
        </w:rPr>
      </w:pPr>
      <w:r w:rsidRPr="006248AE">
        <w:rPr>
          <w:rFonts w:ascii="Helvetica" w:eastAsia="Times New Roman" w:hAnsi="Helvetica" w:cs="Times New Roman"/>
          <w:color w:val="050505"/>
          <w:sz w:val="23"/>
          <w:szCs w:val="23"/>
        </w:rPr>
        <w:fldChar w:fldCharType="begin"/>
      </w:r>
      <w:r w:rsidRPr="006248AE">
        <w:rPr>
          <w:rFonts w:ascii="Helvetica" w:eastAsia="Times New Roman" w:hAnsi="Helvetica" w:cs="Times New Roman"/>
          <w:color w:val="050505"/>
          <w:sz w:val="23"/>
          <w:szCs w:val="23"/>
        </w:rPr>
        <w:instrText xml:space="preserve"> HYPERLINK "https://www.ncbi.nlm.nih.gov/pmc/articles/PMC7844411/?fbclid=IwAR3GNKKS3ZJEDWRIw7aAmOd0O6xJTrWL5GoUvzMhHzyq5qwaYhSDum3npjA" \t "_blank" </w:instrText>
      </w:r>
      <w:r w:rsidRPr="006248AE">
        <w:rPr>
          <w:rFonts w:ascii="Helvetica" w:eastAsia="Times New Roman" w:hAnsi="Helvetica" w:cs="Times New Roman"/>
          <w:color w:val="050505"/>
          <w:sz w:val="23"/>
          <w:szCs w:val="23"/>
        </w:rPr>
      </w:r>
      <w:r w:rsidRPr="006248AE">
        <w:rPr>
          <w:rFonts w:ascii="Helvetica" w:eastAsia="Times New Roman" w:hAnsi="Helvetica" w:cs="Times New Roman"/>
          <w:color w:val="050505"/>
          <w:sz w:val="23"/>
          <w:szCs w:val="23"/>
        </w:rPr>
        <w:fldChar w:fldCharType="separate"/>
      </w:r>
      <w:r w:rsidRPr="006248AE">
        <w:rPr>
          <w:rFonts w:ascii="inherit" w:eastAsia="Times New Roman" w:hAnsi="inherit" w:cs="Times New Roman"/>
          <w:color w:val="0000FF"/>
          <w:sz w:val="23"/>
          <w:szCs w:val="23"/>
          <w:bdr w:val="none" w:sz="0" w:space="0" w:color="auto" w:frame="1"/>
        </w:rPr>
        <w:t>https://www.ncbi.nlm.nih.gov/pmc/articles/PMC7844411/</w:t>
      </w:r>
      <w:r w:rsidRPr="006248AE">
        <w:rPr>
          <w:rFonts w:ascii="Helvetica" w:eastAsia="Times New Roman" w:hAnsi="Helvetica" w:cs="Times New Roman"/>
          <w:color w:val="050505"/>
          <w:sz w:val="23"/>
          <w:szCs w:val="23"/>
        </w:rPr>
        <w:fldChar w:fldCharType="end"/>
      </w:r>
      <w:r w:rsidRPr="006248AE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</w:rPr>
        <w:t> </w:t>
      </w:r>
    </w:p>
    <w:p w14:paraId="14B0CE74" w14:textId="77777777" w:rsidR="006248AE" w:rsidRPr="006248AE" w:rsidRDefault="006248AE" w:rsidP="006248AE">
      <w:pPr>
        <w:ind w:firstLine="567"/>
        <w:rPr>
          <w:b/>
          <w:i/>
        </w:rPr>
      </w:pPr>
    </w:p>
    <w:sectPr w:rsidR="006248AE" w:rsidRPr="006248AE" w:rsidSect="006248AE">
      <w:pgSz w:w="11900" w:h="16840"/>
      <w:pgMar w:top="1134" w:right="141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B8"/>
    <w:rsid w:val="006248AE"/>
    <w:rsid w:val="008324B8"/>
    <w:rsid w:val="00AB1F94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00D4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B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248A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248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B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248A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2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Macintosh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</dc:creator>
  <cp:keywords/>
  <dc:description/>
  <cp:lastModifiedBy>Dimitrios</cp:lastModifiedBy>
  <cp:revision>2</cp:revision>
  <dcterms:created xsi:type="dcterms:W3CDTF">2021-03-14T18:06:00Z</dcterms:created>
  <dcterms:modified xsi:type="dcterms:W3CDTF">2021-03-14T18:06:00Z</dcterms:modified>
</cp:coreProperties>
</file>